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18" w:space="0" w:color="BFBFBF"/>
          <w:insideV w:val="single" w:sz="18" w:space="0" w:color="BFBFBF"/>
        </w:tblBorders>
        <w:tblLook w:val="04A0" w:firstRow="1" w:lastRow="0" w:firstColumn="1" w:lastColumn="0" w:noHBand="0" w:noVBand="1"/>
      </w:tblPr>
      <w:tblGrid>
        <w:gridCol w:w="2376"/>
        <w:gridCol w:w="6129"/>
        <w:gridCol w:w="1134"/>
      </w:tblGrid>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129" w:type="dxa"/>
            <w:vAlign w:val="center"/>
          </w:tcPr>
          <w:p w:rsidR="00B52816" w:rsidRPr="00AC40CC" w:rsidRDefault="00526984" w:rsidP="00664E07">
            <w:pPr>
              <w:rPr>
                <w:rFonts w:ascii="Calibri" w:hAnsi="Calibri" w:cs="Arial"/>
                <w:sz w:val="20"/>
                <w:szCs w:val="20"/>
              </w:rPr>
            </w:pPr>
            <w:r>
              <w:rPr>
                <w:rFonts w:ascii="Calibri" w:hAnsi="Calibri" w:cs="Arial"/>
                <w:sz w:val="20"/>
                <w:szCs w:val="20"/>
              </w:rPr>
              <w:t>Community Health Centre (</w:t>
            </w:r>
            <w:proofErr w:type="spellStart"/>
            <w:proofErr w:type="gramStart"/>
            <w:r>
              <w:rPr>
                <w:rFonts w:ascii="Calibri" w:hAnsi="Calibri" w:cs="Arial"/>
                <w:sz w:val="20"/>
                <w:szCs w:val="20"/>
              </w:rPr>
              <w:t>stand alone</w:t>
            </w:r>
            <w:proofErr w:type="spellEnd"/>
            <w:proofErr w:type="gramEnd"/>
            <w:r>
              <w:rPr>
                <w:rFonts w:ascii="Calibri" w:hAnsi="Calibri" w:cs="Arial"/>
                <w:sz w:val="20"/>
                <w:szCs w:val="20"/>
              </w:rPr>
              <w:t xml:space="preserve"> services) Social and Community Service Employees Multi Enterprise Agreement 2013-2015. Community Development Worker, </w:t>
            </w:r>
            <w:r w:rsidR="00E1273F">
              <w:rPr>
                <w:rFonts w:ascii="Calibri" w:hAnsi="Calibri" w:cs="Arial"/>
                <w:sz w:val="20"/>
                <w:szCs w:val="20"/>
              </w:rPr>
              <w:t>SACS, Level 5</w:t>
            </w:r>
            <w:r>
              <w:rPr>
                <w:rFonts w:ascii="Calibri" w:hAnsi="Calibri" w:cs="Arial"/>
                <w:sz w:val="20"/>
                <w:szCs w:val="20"/>
              </w:rPr>
              <w:t>.</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129"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129" w:type="dxa"/>
            <w:vAlign w:val="center"/>
          </w:tcPr>
          <w:p w:rsidR="00B52816" w:rsidRPr="00AC40CC" w:rsidRDefault="00863925" w:rsidP="00664E07">
            <w:pPr>
              <w:rPr>
                <w:rFonts w:ascii="Calibri" w:hAnsi="Calibri" w:cs="Arial"/>
                <w:sz w:val="20"/>
                <w:szCs w:val="20"/>
              </w:rPr>
            </w:pPr>
            <w:r>
              <w:rPr>
                <w:rFonts w:ascii="Calibri" w:hAnsi="Calibri" w:cs="Arial"/>
                <w:sz w:val="20"/>
                <w:szCs w:val="20"/>
              </w:rPr>
              <w:t>1.0 EFT</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129" w:type="dxa"/>
            <w:vAlign w:val="center"/>
          </w:tcPr>
          <w:p w:rsidR="00B52816" w:rsidRPr="00AC40CC" w:rsidRDefault="00836C5A" w:rsidP="00664E07">
            <w:pPr>
              <w:rPr>
                <w:rFonts w:ascii="Calibri" w:hAnsi="Calibri" w:cs="Arial"/>
                <w:sz w:val="20"/>
                <w:szCs w:val="20"/>
              </w:rPr>
            </w:pPr>
            <w:r>
              <w:rPr>
                <w:rFonts w:ascii="Calibri" w:hAnsi="Calibri" w:cs="Arial"/>
                <w:sz w:val="20"/>
                <w:szCs w:val="20"/>
              </w:rPr>
              <w:t>AOD Program Manager</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129" w:type="dxa"/>
            <w:vAlign w:val="center"/>
          </w:tcPr>
          <w:p w:rsidR="00B52816" w:rsidRPr="00AC40CC" w:rsidRDefault="00724F96" w:rsidP="00664E07">
            <w:pPr>
              <w:rPr>
                <w:rFonts w:ascii="Calibri" w:hAnsi="Calibri" w:cs="Arial"/>
                <w:sz w:val="20"/>
                <w:szCs w:val="20"/>
              </w:rPr>
            </w:pPr>
            <w:r>
              <w:rPr>
                <w:rFonts w:ascii="Calibri" w:hAnsi="Calibri" w:cs="Arial"/>
                <w:sz w:val="20"/>
                <w:szCs w:val="20"/>
              </w:rPr>
              <w:t>CEO</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129" w:type="dxa"/>
            <w:vAlign w:val="center"/>
          </w:tcPr>
          <w:p w:rsidR="00B52816" w:rsidRPr="00AC40CC" w:rsidRDefault="00E600D7" w:rsidP="00664E07">
            <w:pPr>
              <w:rPr>
                <w:rFonts w:ascii="Calibri" w:hAnsi="Calibri" w:cs="Arial"/>
                <w:sz w:val="20"/>
                <w:szCs w:val="20"/>
              </w:rPr>
            </w:pPr>
            <w:r>
              <w:rPr>
                <w:rFonts w:ascii="Calibri" w:hAnsi="Calibri" w:cs="Arial"/>
                <w:sz w:val="20"/>
                <w:szCs w:val="20"/>
              </w:rPr>
              <w:t>12 months</w:t>
            </w:r>
            <w:bookmarkStart w:id="0" w:name="_GoBack"/>
            <w:bookmarkEnd w:id="0"/>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129" w:type="dxa"/>
            <w:vAlign w:val="center"/>
          </w:tcPr>
          <w:p w:rsidR="00B52816" w:rsidRPr="00AC40CC" w:rsidRDefault="00863925" w:rsidP="00664E07">
            <w:pPr>
              <w:rPr>
                <w:rFonts w:ascii="Calibri" w:hAnsi="Calibri" w:cs="Arial"/>
                <w:sz w:val="20"/>
                <w:szCs w:val="20"/>
              </w:rPr>
            </w:pPr>
            <w:r>
              <w:rPr>
                <w:rFonts w:ascii="Calibri" w:hAnsi="Calibri" w:cs="Arial"/>
                <w:sz w:val="20"/>
                <w:szCs w:val="20"/>
              </w:rPr>
              <w:t>NIL</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129"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71559F">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129" w:type="dxa"/>
            <w:vAlign w:val="center"/>
          </w:tcPr>
          <w:p w:rsidR="00B52816" w:rsidRPr="00AC40CC" w:rsidRDefault="00836C5A" w:rsidP="00724F96">
            <w:pPr>
              <w:rPr>
                <w:rFonts w:ascii="Calibri" w:hAnsi="Calibri" w:cs="Arial"/>
                <w:sz w:val="20"/>
                <w:szCs w:val="20"/>
              </w:rPr>
            </w:pPr>
            <w:r>
              <w:rPr>
                <w:rFonts w:ascii="Calibri" w:hAnsi="Calibri" w:cs="Arial"/>
                <w:sz w:val="20"/>
                <w:szCs w:val="20"/>
              </w:rPr>
              <w:t>November 2017</w:t>
            </w:r>
          </w:p>
        </w:tc>
        <w:tc>
          <w:tcPr>
            <w:tcW w:w="1134"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5204D1" w:rsidRDefault="00E26FD9" w:rsidP="00B36DDE">
      <w:pPr>
        <w:tabs>
          <w:tab w:val="left" w:pos="0"/>
        </w:tabs>
        <w:jc w:val="both"/>
        <w:rPr>
          <w:rFonts w:ascii="Calibri" w:hAnsi="Calibri" w:cs="Arial"/>
          <w:sz w:val="20"/>
          <w:szCs w:val="20"/>
        </w:rPr>
      </w:pPr>
      <w:r>
        <w:rPr>
          <w:rFonts w:ascii="Calibri" w:hAnsi="Calibri" w:cs="Arial"/>
          <w:sz w:val="20"/>
          <w:szCs w:val="20"/>
        </w:rPr>
        <w:br/>
      </w:r>
      <w:r w:rsidR="00B36DDE">
        <w:rPr>
          <w:rFonts w:ascii="Calibri" w:hAnsi="Calibri" w:cs="Arial"/>
          <w:sz w:val="20"/>
          <w:szCs w:val="20"/>
        </w:rPr>
        <w:t xml:space="preserve">This new position </w:t>
      </w:r>
      <w:r w:rsidR="00F55082">
        <w:rPr>
          <w:rFonts w:ascii="Calibri" w:hAnsi="Calibri" w:cs="Arial"/>
          <w:sz w:val="20"/>
          <w:szCs w:val="20"/>
        </w:rPr>
        <w:t xml:space="preserve">in the AOD team </w:t>
      </w:r>
      <w:r w:rsidR="00A2108D">
        <w:rPr>
          <w:rFonts w:ascii="Calibri" w:hAnsi="Calibri" w:cs="Arial"/>
          <w:sz w:val="20"/>
          <w:szCs w:val="20"/>
        </w:rPr>
        <w:t xml:space="preserve">is </w:t>
      </w:r>
      <w:r w:rsidR="00B36DDE">
        <w:rPr>
          <w:rFonts w:ascii="Calibri" w:hAnsi="Calibri" w:cs="Arial"/>
          <w:sz w:val="20"/>
          <w:szCs w:val="20"/>
        </w:rPr>
        <w:t>responsible for assisting in the prevention</w:t>
      </w:r>
      <w:r w:rsidR="00B36DDE" w:rsidRPr="00B36DDE">
        <w:rPr>
          <w:rFonts w:ascii="Calibri" w:hAnsi="Calibri" w:cs="Arial"/>
          <w:sz w:val="20"/>
          <w:szCs w:val="20"/>
        </w:rPr>
        <w:t xml:space="preserve"> and treat</w:t>
      </w:r>
      <w:r w:rsidR="00A2108D">
        <w:rPr>
          <w:rFonts w:ascii="Calibri" w:hAnsi="Calibri" w:cs="Arial"/>
          <w:sz w:val="20"/>
          <w:szCs w:val="20"/>
        </w:rPr>
        <w:t xml:space="preserve">ment </w:t>
      </w:r>
      <w:r w:rsidR="00B36DDE">
        <w:rPr>
          <w:rFonts w:ascii="Calibri" w:hAnsi="Calibri" w:cs="Arial"/>
          <w:sz w:val="20"/>
          <w:szCs w:val="20"/>
        </w:rPr>
        <w:t xml:space="preserve">of </w:t>
      </w:r>
      <w:r w:rsidR="00B36DDE" w:rsidRPr="00B36DDE">
        <w:rPr>
          <w:rFonts w:ascii="Calibri" w:hAnsi="Calibri" w:cs="Arial"/>
          <w:sz w:val="20"/>
          <w:szCs w:val="20"/>
        </w:rPr>
        <w:t>overdose</w:t>
      </w:r>
      <w:r w:rsidR="00FB47F2">
        <w:rPr>
          <w:rFonts w:ascii="Calibri" w:hAnsi="Calibri" w:cs="Arial"/>
          <w:sz w:val="20"/>
          <w:szCs w:val="20"/>
        </w:rPr>
        <w:t>s</w:t>
      </w:r>
      <w:r w:rsidR="00B36DDE" w:rsidRPr="00B36DDE">
        <w:rPr>
          <w:rFonts w:ascii="Calibri" w:hAnsi="Calibri" w:cs="Arial"/>
          <w:sz w:val="20"/>
          <w:szCs w:val="20"/>
        </w:rPr>
        <w:t xml:space="preserve"> </w:t>
      </w:r>
      <w:r w:rsidR="00B36DDE">
        <w:rPr>
          <w:rFonts w:ascii="Calibri" w:hAnsi="Calibri" w:cs="Arial"/>
          <w:sz w:val="20"/>
          <w:szCs w:val="20"/>
        </w:rPr>
        <w:t xml:space="preserve">by </w:t>
      </w:r>
      <w:r w:rsidR="00043EB6">
        <w:rPr>
          <w:rFonts w:ascii="Calibri" w:hAnsi="Calibri" w:cs="Arial"/>
          <w:sz w:val="20"/>
          <w:szCs w:val="20"/>
        </w:rPr>
        <w:t xml:space="preserve">building the capacity </w:t>
      </w:r>
      <w:r w:rsidR="00A2108D">
        <w:rPr>
          <w:rFonts w:ascii="Calibri" w:hAnsi="Calibri" w:cs="Arial"/>
          <w:sz w:val="20"/>
          <w:szCs w:val="20"/>
        </w:rPr>
        <w:t xml:space="preserve">of </w:t>
      </w:r>
      <w:r w:rsidR="00043EB6">
        <w:rPr>
          <w:rFonts w:ascii="Calibri" w:hAnsi="Calibri" w:cs="Arial"/>
          <w:sz w:val="20"/>
          <w:szCs w:val="20"/>
        </w:rPr>
        <w:t xml:space="preserve">and providing training to </w:t>
      </w:r>
      <w:r w:rsidR="00A2108D">
        <w:rPr>
          <w:rFonts w:ascii="Calibri" w:hAnsi="Calibri" w:cs="Arial"/>
          <w:sz w:val="20"/>
          <w:szCs w:val="20"/>
        </w:rPr>
        <w:t xml:space="preserve">people who inject drugs and </w:t>
      </w:r>
      <w:r w:rsidR="00043EB6">
        <w:rPr>
          <w:rFonts w:ascii="Calibri" w:hAnsi="Calibri" w:cs="Arial"/>
          <w:sz w:val="20"/>
          <w:szCs w:val="20"/>
        </w:rPr>
        <w:t>potential overdose witnesses.</w:t>
      </w:r>
      <w:r w:rsidR="00E33A35">
        <w:rPr>
          <w:rFonts w:ascii="Calibri" w:hAnsi="Calibri" w:cs="Arial"/>
          <w:sz w:val="20"/>
          <w:szCs w:val="20"/>
        </w:rPr>
        <w:t xml:space="preserve"> </w:t>
      </w:r>
    </w:p>
    <w:p w:rsidR="00F55082" w:rsidRPr="00B36DDE" w:rsidRDefault="00F55082" w:rsidP="00B36DDE">
      <w:pPr>
        <w:tabs>
          <w:tab w:val="left" w:pos="0"/>
        </w:tabs>
        <w:jc w:val="both"/>
        <w:rPr>
          <w:rFonts w:ascii="Calibri" w:hAnsi="Calibri" w:cs="Arial"/>
          <w:sz w:val="20"/>
          <w:szCs w:val="20"/>
        </w:rPr>
      </w:pPr>
    </w:p>
    <w:p w:rsidR="00FC1FB0" w:rsidRDefault="00FC1FB0" w:rsidP="00FC1FB0">
      <w:pPr>
        <w:spacing w:line="216" w:lineRule="auto"/>
        <w:rPr>
          <w:rFonts w:ascii="Calibri" w:hAnsi="Calibri"/>
          <w:color w:val="63A70A"/>
          <w:sz w:val="40"/>
        </w:rPr>
      </w:pPr>
      <w:r w:rsidRPr="00622A98">
        <w:rPr>
          <w:rFonts w:ascii="Calibri" w:hAnsi="Calibri"/>
          <w:color w:val="63A70A"/>
          <w:sz w:val="40"/>
        </w:rPr>
        <w:t>Key Responsibilities</w:t>
      </w:r>
    </w:p>
    <w:p w:rsidR="00E26FD9" w:rsidRDefault="00E26FD9" w:rsidP="00E26FD9">
      <w:pPr>
        <w:jc w:val="both"/>
        <w:rPr>
          <w:rFonts w:ascii="Calibri" w:hAnsi="Calibri" w:cs="Arial"/>
          <w:sz w:val="20"/>
          <w:szCs w:val="20"/>
          <w:lang w:val="en-US"/>
        </w:rPr>
      </w:pPr>
    </w:p>
    <w:p w:rsidR="00363DE9" w:rsidRDefault="00363DE9" w:rsidP="00154227">
      <w:pPr>
        <w:pStyle w:val="ListParagraph"/>
        <w:numPr>
          <w:ilvl w:val="0"/>
          <w:numId w:val="19"/>
        </w:numPr>
        <w:spacing w:line="240" w:lineRule="auto"/>
        <w:ind w:left="426" w:hanging="426"/>
        <w:rPr>
          <w:rFonts w:cs="Arial"/>
          <w:sz w:val="20"/>
          <w:szCs w:val="20"/>
        </w:rPr>
      </w:pPr>
      <w:r>
        <w:rPr>
          <w:rFonts w:cs="Arial"/>
          <w:sz w:val="20"/>
          <w:szCs w:val="20"/>
        </w:rPr>
        <w:t xml:space="preserve">Develop appropriate, adaptable training programs including awareness raising, stigma reduction and overdose response to accommodate the diverse needs of participants. </w:t>
      </w:r>
    </w:p>
    <w:p w:rsidR="00724F96" w:rsidRDefault="00470FE8" w:rsidP="00154227">
      <w:pPr>
        <w:pStyle w:val="ListParagraph"/>
        <w:numPr>
          <w:ilvl w:val="0"/>
          <w:numId w:val="19"/>
        </w:numPr>
        <w:spacing w:line="240" w:lineRule="auto"/>
        <w:ind w:left="426" w:hanging="426"/>
        <w:rPr>
          <w:rFonts w:cs="Arial"/>
          <w:sz w:val="20"/>
          <w:szCs w:val="20"/>
        </w:rPr>
      </w:pPr>
      <w:r w:rsidRPr="00470FE8">
        <w:rPr>
          <w:rFonts w:cs="Arial"/>
          <w:sz w:val="20"/>
          <w:szCs w:val="20"/>
        </w:rPr>
        <w:t xml:space="preserve">Provide training in overdose response and </w:t>
      </w:r>
      <w:r w:rsidR="00A2108D">
        <w:rPr>
          <w:rFonts w:cs="Arial"/>
          <w:sz w:val="20"/>
          <w:szCs w:val="20"/>
        </w:rPr>
        <w:t xml:space="preserve">the use of </w:t>
      </w:r>
      <w:r w:rsidRPr="00470FE8">
        <w:rPr>
          <w:rFonts w:cs="Arial"/>
          <w:sz w:val="20"/>
          <w:szCs w:val="20"/>
        </w:rPr>
        <w:t>naloxone to people who inject drugs (PWID) who use the NRCH needle and syringe program (NSP)</w:t>
      </w:r>
      <w:r w:rsidR="00154227">
        <w:rPr>
          <w:rFonts w:cs="Arial"/>
          <w:sz w:val="20"/>
          <w:szCs w:val="20"/>
        </w:rPr>
        <w:t xml:space="preserve"> and </w:t>
      </w:r>
      <w:r w:rsidR="00FD5533">
        <w:rPr>
          <w:rFonts w:cs="Arial"/>
          <w:sz w:val="20"/>
          <w:szCs w:val="20"/>
        </w:rPr>
        <w:t>to those in the wider community.</w:t>
      </w:r>
    </w:p>
    <w:p w:rsidR="00470FE8" w:rsidRDefault="00470FE8" w:rsidP="00154227">
      <w:pPr>
        <w:pStyle w:val="ListParagraph"/>
        <w:numPr>
          <w:ilvl w:val="0"/>
          <w:numId w:val="19"/>
        </w:numPr>
        <w:spacing w:line="240" w:lineRule="auto"/>
        <w:ind w:left="426" w:hanging="426"/>
        <w:rPr>
          <w:rFonts w:cs="Arial"/>
          <w:sz w:val="20"/>
          <w:szCs w:val="20"/>
        </w:rPr>
      </w:pPr>
      <w:r w:rsidRPr="00470FE8">
        <w:rPr>
          <w:rFonts w:cs="Arial"/>
          <w:sz w:val="20"/>
          <w:szCs w:val="20"/>
        </w:rPr>
        <w:t>Liaise with emergency services, St Vincent’s Hospital Emergency Department, St Vincent’s Hospital AOD department, and other local services as appropriate to encourage inter-agency referral of people who have experienced overdose or are at risk of overdose.</w:t>
      </w:r>
    </w:p>
    <w:p w:rsidR="00470FE8" w:rsidRDefault="00BB0C5B" w:rsidP="00154227">
      <w:pPr>
        <w:pStyle w:val="ListParagraph"/>
        <w:numPr>
          <w:ilvl w:val="0"/>
          <w:numId w:val="19"/>
        </w:numPr>
        <w:spacing w:line="240" w:lineRule="auto"/>
        <w:ind w:left="426" w:hanging="426"/>
        <w:rPr>
          <w:rFonts w:cs="Arial"/>
          <w:sz w:val="20"/>
          <w:szCs w:val="20"/>
        </w:rPr>
      </w:pPr>
      <w:r w:rsidRPr="00BB0C5B">
        <w:rPr>
          <w:rFonts w:cs="Arial"/>
          <w:sz w:val="20"/>
          <w:szCs w:val="20"/>
        </w:rPr>
        <w:t xml:space="preserve">Provide training on overdose response to all </w:t>
      </w:r>
      <w:r w:rsidR="00A2108D">
        <w:rPr>
          <w:rFonts w:cs="Arial"/>
          <w:sz w:val="20"/>
          <w:szCs w:val="20"/>
        </w:rPr>
        <w:t xml:space="preserve">NRCH </w:t>
      </w:r>
      <w:r w:rsidRPr="00BB0C5B">
        <w:rPr>
          <w:rFonts w:cs="Arial"/>
          <w:sz w:val="20"/>
          <w:szCs w:val="20"/>
        </w:rPr>
        <w:t>staff.</w:t>
      </w:r>
    </w:p>
    <w:p w:rsidR="00470FE8" w:rsidRDefault="00BB0C5B" w:rsidP="00154227">
      <w:pPr>
        <w:pStyle w:val="ListParagraph"/>
        <w:numPr>
          <w:ilvl w:val="0"/>
          <w:numId w:val="19"/>
        </w:numPr>
        <w:spacing w:line="240" w:lineRule="auto"/>
        <w:ind w:left="426" w:hanging="426"/>
        <w:rPr>
          <w:rFonts w:cs="Arial"/>
          <w:sz w:val="20"/>
          <w:szCs w:val="20"/>
        </w:rPr>
      </w:pPr>
      <w:r w:rsidRPr="00BB0C5B">
        <w:rPr>
          <w:rFonts w:cs="Arial"/>
          <w:sz w:val="20"/>
          <w:szCs w:val="20"/>
        </w:rPr>
        <w:t xml:space="preserve">Provide a </w:t>
      </w:r>
      <w:r w:rsidR="00A2108D">
        <w:rPr>
          <w:rFonts w:cs="Arial"/>
          <w:sz w:val="20"/>
          <w:szCs w:val="20"/>
        </w:rPr>
        <w:t>“</w:t>
      </w:r>
      <w:r w:rsidRPr="00BB0C5B">
        <w:rPr>
          <w:rFonts w:cs="Arial"/>
          <w:sz w:val="20"/>
          <w:szCs w:val="20"/>
        </w:rPr>
        <w:t>train the trainer</w:t>
      </w:r>
      <w:r w:rsidR="00A2108D">
        <w:rPr>
          <w:rFonts w:cs="Arial"/>
          <w:sz w:val="20"/>
          <w:szCs w:val="20"/>
        </w:rPr>
        <w:t>”</w:t>
      </w:r>
      <w:r w:rsidRPr="00BB0C5B">
        <w:rPr>
          <w:rFonts w:cs="Arial"/>
          <w:sz w:val="20"/>
          <w:szCs w:val="20"/>
        </w:rPr>
        <w:t xml:space="preserve"> course in Overdose Response and brief interventions for </w:t>
      </w:r>
      <w:r>
        <w:rPr>
          <w:rFonts w:cs="Arial"/>
          <w:sz w:val="20"/>
          <w:szCs w:val="20"/>
        </w:rPr>
        <w:t>peer workers in the AOD program.</w:t>
      </w:r>
    </w:p>
    <w:p w:rsidR="00470FE8" w:rsidRDefault="00BB0C5B" w:rsidP="00154227">
      <w:pPr>
        <w:pStyle w:val="ListParagraph"/>
        <w:numPr>
          <w:ilvl w:val="0"/>
          <w:numId w:val="19"/>
        </w:numPr>
        <w:spacing w:line="240" w:lineRule="auto"/>
        <w:ind w:left="426" w:hanging="426"/>
        <w:rPr>
          <w:rFonts w:cs="Arial"/>
          <w:sz w:val="20"/>
          <w:szCs w:val="20"/>
        </w:rPr>
      </w:pPr>
      <w:r w:rsidRPr="00BB0C5B">
        <w:rPr>
          <w:rFonts w:cs="Arial"/>
          <w:sz w:val="20"/>
          <w:szCs w:val="20"/>
        </w:rPr>
        <w:lastRenderedPageBreak/>
        <w:t>Str</w:t>
      </w:r>
      <w:r>
        <w:rPr>
          <w:rFonts w:cs="Arial"/>
          <w:sz w:val="20"/>
          <w:szCs w:val="20"/>
        </w:rPr>
        <w:t xml:space="preserve">engthen engagement with GPs, </w:t>
      </w:r>
      <w:r w:rsidRPr="00BB0C5B">
        <w:rPr>
          <w:rFonts w:cs="Arial"/>
          <w:sz w:val="20"/>
          <w:szCs w:val="20"/>
        </w:rPr>
        <w:t>pharmacies and other local serv</w:t>
      </w:r>
      <w:r>
        <w:rPr>
          <w:rFonts w:cs="Arial"/>
          <w:sz w:val="20"/>
          <w:szCs w:val="20"/>
        </w:rPr>
        <w:t xml:space="preserve">ices likely to witness overdose, </w:t>
      </w:r>
      <w:r w:rsidRPr="00BB0C5B">
        <w:rPr>
          <w:rFonts w:cs="Arial"/>
          <w:sz w:val="20"/>
          <w:szCs w:val="20"/>
        </w:rPr>
        <w:t xml:space="preserve">by providing naloxone education, encouraging increased access to pharmacotherapy and </w:t>
      </w:r>
      <w:r>
        <w:rPr>
          <w:rFonts w:cs="Arial"/>
          <w:sz w:val="20"/>
          <w:szCs w:val="20"/>
        </w:rPr>
        <w:t xml:space="preserve">providing </w:t>
      </w:r>
      <w:r w:rsidRPr="00BB0C5B">
        <w:rPr>
          <w:rFonts w:cs="Arial"/>
          <w:sz w:val="20"/>
          <w:szCs w:val="20"/>
        </w:rPr>
        <w:t>information to facilitate referrals to NRCH.</w:t>
      </w:r>
    </w:p>
    <w:p w:rsidR="0050424A" w:rsidRPr="00470FE8" w:rsidRDefault="0050424A" w:rsidP="00154227">
      <w:pPr>
        <w:pStyle w:val="ListParagraph"/>
        <w:numPr>
          <w:ilvl w:val="0"/>
          <w:numId w:val="19"/>
        </w:numPr>
        <w:spacing w:line="240" w:lineRule="auto"/>
        <w:ind w:left="426" w:hanging="426"/>
        <w:rPr>
          <w:rFonts w:cs="Arial"/>
          <w:sz w:val="20"/>
          <w:szCs w:val="20"/>
        </w:rPr>
      </w:pPr>
      <w:r>
        <w:rPr>
          <w:rFonts w:cs="Arial"/>
          <w:sz w:val="20"/>
          <w:szCs w:val="20"/>
        </w:rPr>
        <w:t xml:space="preserve">Monitor and </w:t>
      </w:r>
      <w:r w:rsidR="00363DE9">
        <w:rPr>
          <w:rFonts w:cs="Arial"/>
          <w:sz w:val="20"/>
          <w:szCs w:val="20"/>
        </w:rPr>
        <w:t>contribute to</w:t>
      </w:r>
      <w:r>
        <w:rPr>
          <w:rFonts w:cs="Arial"/>
          <w:sz w:val="20"/>
          <w:szCs w:val="20"/>
        </w:rPr>
        <w:t xml:space="preserve"> </w:t>
      </w:r>
      <w:r w:rsidR="00363DE9">
        <w:rPr>
          <w:rFonts w:cs="Arial"/>
          <w:sz w:val="20"/>
          <w:szCs w:val="20"/>
        </w:rPr>
        <w:t xml:space="preserve">the development of </w:t>
      </w:r>
      <w:r>
        <w:rPr>
          <w:rFonts w:cs="Arial"/>
          <w:sz w:val="20"/>
          <w:szCs w:val="20"/>
        </w:rPr>
        <w:t xml:space="preserve">policies and procedures to ensure up-to-date, evidence-based and effective responses to overdose in all aspects of the NRCH overdose response. </w:t>
      </w:r>
    </w:p>
    <w:p w:rsidR="005204D1" w:rsidRDefault="005204D1" w:rsidP="00B52816">
      <w:pPr>
        <w:rPr>
          <w:rFonts w:ascii="Calibri" w:hAnsi="Calibri" w:cs="Calibri"/>
          <w:sz w:val="20"/>
          <w:szCs w:val="20"/>
        </w:rPr>
      </w:pPr>
    </w:p>
    <w:p w:rsidR="0071559F" w:rsidRDefault="0071559F" w:rsidP="00FC1FB0">
      <w:pPr>
        <w:spacing w:line="216" w:lineRule="auto"/>
        <w:rPr>
          <w:rFonts w:ascii="Calibri" w:hAnsi="Calibri"/>
          <w:color w:val="63A70A"/>
          <w:sz w:val="40"/>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3"/>
              </w:numPr>
              <w:spacing w:line="216" w:lineRule="auto"/>
              <w:rPr>
                <w:sz w:val="20"/>
                <w:szCs w:val="20"/>
              </w:rPr>
            </w:pPr>
            <w:r w:rsidRPr="00FD4829">
              <w:rPr>
                <w:sz w:val="20"/>
                <w:szCs w:val="20"/>
              </w:rPr>
              <w:t>Is sensitive to clients’ heritage, traditions and identity.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Actively listens to clients and passes on relevant information accurately and appropriately</w:t>
            </w:r>
            <w:r w:rsidR="0050424A">
              <w:rPr>
                <w:sz w:val="20"/>
                <w:szCs w:val="20"/>
              </w:rPr>
              <w:t>.</w:t>
            </w:r>
          </w:p>
          <w:p w:rsidR="00FD4829" w:rsidRPr="00FD4829" w:rsidRDefault="00FD4829" w:rsidP="00FD4829">
            <w:pPr>
              <w:pStyle w:val="ListParagraph"/>
              <w:numPr>
                <w:ilvl w:val="0"/>
                <w:numId w:val="13"/>
              </w:numPr>
              <w:spacing w:line="216" w:lineRule="auto"/>
              <w:rPr>
                <w:sz w:val="20"/>
                <w:szCs w:val="20"/>
              </w:rPr>
            </w:pPr>
            <w:r w:rsidRPr="00FD4829">
              <w:rPr>
                <w:sz w:val="20"/>
                <w:szCs w:val="20"/>
              </w:rPr>
              <w:t>Responds in a prompt and sensitive manner to clients’ requests so that the client feels supported and accepted.</w:t>
            </w:r>
          </w:p>
          <w:p w:rsidR="00651D3A" w:rsidRPr="00FD4829" w:rsidRDefault="00FD4829" w:rsidP="00FD4829">
            <w:pPr>
              <w:pStyle w:val="ListParagraph"/>
              <w:numPr>
                <w:ilvl w:val="0"/>
                <w:numId w:val="13"/>
              </w:numPr>
              <w:spacing w:line="216" w:lineRule="auto"/>
              <w:rPr>
                <w:sz w:val="20"/>
                <w:szCs w:val="20"/>
              </w:rPr>
            </w:pPr>
            <w:r w:rsidRPr="00FD4829">
              <w:rPr>
                <w:sz w:val="20"/>
                <w:szCs w:val="20"/>
              </w:rPr>
              <w:t>Maintains basic awareness of current community issues.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Seeks feedback to ensure work is consistent with expectations.</w:t>
            </w:r>
          </w:p>
          <w:p w:rsidR="00651D3A"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Is committed to own professional and personal development.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Observes Code of Conduct, behaves ethically and seeks assistance with ethical dilemmas</w:t>
            </w:r>
            <w:r w:rsidR="0050424A">
              <w:rPr>
                <w:rFonts w:asciiTheme="minorHAnsi" w:eastAsiaTheme="minorHAnsi" w:hAnsiTheme="minorHAnsi" w:cstheme="minorBidi"/>
                <w:sz w:val="20"/>
                <w:szCs w:val="20"/>
              </w:rPr>
              <w: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Actively participates in team activities.</w:t>
            </w:r>
          </w:p>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Performs own roles and responsibilities efficiently to contribute to program objectives</w:t>
            </w:r>
            <w:r w:rsidR="0050424A">
              <w:rPr>
                <w:rFonts w:asciiTheme="minorHAnsi" w:eastAsiaTheme="minorHAnsi" w:hAnsiTheme="minorHAnsi" w:cstheme="minorBidi"/>
                <w:sz w:val="20"/>
                <w:szCs w:val="20"/>
              </w:rPr>
              <w: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b/>
                <w:sz w:val="20"/>
                <w:szCs w:val="20"/>
              </w:rPr>
            </w:pPr>
            <w:r w:rsidRPr="00FD4829">
              <w:rPr>
                <w:rFonts w:asciiTheme="minorHAnsi" w:eastAsiaTheme="minorHAnsi" w:hAnsiTheme="minorHAnsi" w:cstheme="minorBidi"/>
                <w:sz w:val="20"/>
                <w:szCs w:val="20"/>
              </w:rPr>
              <w:t>Identifies own skills and skill needs in consultation with supervisor</w:t>
            </w:r>
            <w:r w:rsidR="0050424A">
              <w:rPr>
                <w:rFonts w:asciiTheme="minorHAnsi" w:eastAsiaTheme="minorHAnsi" w:hAnsiTheme="minorHAnsi" w:cstheme="minorBidi"/>
                <w:sz w:val="20"/>
                <w:szCs w:val="20"/>
              </w:rPr>
              <w: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Uses technology and software applications effectively in accordance with task requirements</w:t>
            </w:r>
            <w:r w:rsidR="0050424A">
              <w:rPr>
                <w:rFonts w:asciiTheme="minorHAnsi" w:eastAsiaTheme="minorHAnsi" w:hAnsiTheme="minorHAnsi" w:cstheme="minorBidi"/>
                <w:sz w:val="20"/>
                <w:szCs w:val="20"/>
              </w:rPr>
              <w:t>.</w:t>
            </w:r>
          </w:p>
          <w:p w:rsidR="00651D3A"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Maintains a positive approach to change and adapts to new or different ways of working</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Builds collaborative relationships with the relevant people at NRCH.</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71559F" w:rsidRDefault="0071559F">
      <w:pPr>
        <w:spacing w:after="200" w:line="276" w:lineRule="auto"/>
        <w:rPr>
          <w:rFonts w:ascii="Calibri" w:hAnsi="Calibri"/>
          <w:color w:val="63A70A"/>
          <w:sz w:val="40"/>
        </w:rPr>
      </w:pPr>
      <w:r>
        <w:rPr>
          <w:rFonts w:ascii="Calibri" w:hAnsi="Calibri"/>
          <w:color w:val="63A70A"/>
          <w:sz w:val="40"/>
        </w:rPr>
        <w:br w:type="page"/>
      </w: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lastRenderedPageBreak/>
        <w:t>Key Selection Criteria</w:t>
      </w:r>
    </w:p>
    <w:p w:rsidR="00724F96" w:rsidRPr="007E736E" w:rsidRDefault="00724F96" w:rsidP="00724F96">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skills &amp; experience</w:t>
      </w:r>
    </w:p>
    <w:p w:rsidR="008139F4" w:rsidRPr="00705F52" w:rsidRDefault="008139F4" w:rsidP="00E26FD9">
      <w:pPr>
        <w:pStyle w:val="ListParagraph"/>
        <w:numPr>
          <w:ilvl w:val="0"/>
          <w:numId w:val="16"/>
        </w:numPr>
        <w:rPr>
          <w:rFonts w:ascii="Arial" w:hAnsi="Arial" w:cs="Arial"/>
          <w:sz w:val="20"/>
          <w:szCs w:val="20"/>
        </w:rPr>
      </w:pPr>
      <w:r>
        <w:rPr>
          <w:rFonts w:asciiTheme="minorHAnsi" w:hAnsiTheme="minorHAnsi" w:cs="Arial"/>
          <w:sz w:val="20"/>
          <w:szCs w:val="20"/>
        </w:rPr>
        <w:t>3 to 5</w:t>
      </w:r>
      <w:r w:rsidR="0050424A">
        <w:rPr>
          <w:rFonts w:asciiTheme="minorHAnsi" w:hAnsiTheme="minorHAnsi" w:cs="Arial"/>
          <w:sz w:val="20"/>
          <w:szCs w:val="20"/>
        </w:rPr>
        <w:t xml:space="preserve"> </w:t>
      </w:r>
      <w:proofErr w:type="spellStart"/>
      <w:r w:rsidR="0050424A">
        <w:rPr>
          <w:rFonts w:asciiTheme="minorHAnsi" w:hAnsiTheme="minorHAnsi" w:cs="Arial"/>
          <w:sz w:val="20"/>
          <w:szCs w:val="20"/>
        </w:rPr>
        <w:t>years experience</w:t>
      </w:r>
      <w:proofErr w:type="spellEnd"/>
      <w:r w:rsidR="0050424A">
        <w:rPr>
          <w:rFonts w:asciiTheme="minorHAnsi" w:hAnsiTheme="minorHAnsi" w:cs="Arial"/>
          <w:sz w:val="20"/>
          <w:szCs w:val="20"/>
        </w:rPr>
        <w:t xml:space="preserve"> working in the </w:t>
      </w:r>
      <w:r w:rsidR="00363DE9">
        <w:rPr>
          <w:rFonts w:asciiTheme="minorHAnsi" w:hAnsiTheme="minorHAnsi" w:cs="Arial"/>
          <w:sz w:val="20"/>
          <w:szCs w:val="20"/>
        </w:rPr>
        <w:t>community</w:t>
      </w:r>
      <w:r w:rsidR="00FD5533">
        <w:rPr>
          <w:rFonts w:asciiTheme="minorHAnsi" w:hAnsiTheme="minorHAnsi" w:cs="Arial"/>
          <w:sz w:val="20"/>
          <w:szCs w:val="20"/>
        </w:rPr>
        <w:t>/AOD/mental</w:t>
      </w:r>
      <w:r w:rsidR="00363DE9">
        <w:rPr>
          <w:rFonts w:asciiTheme="minorHAnsi" w:hAnsiTheme="minorHAnsi" w:cs="Arial"/>
          <w:sz w:val="20"/>
          <w:szCs w:val="20"/>
        </w:rPr>
        <w:t xml:space="preserve"> health sector</w:t>
      </w:r>
    </w:p>
    <w:p w:rsidR="0050424A" w:rsidRPr="00705F52" w:rsidRDefault="008139F4" w:rsidP="00E26FD9">
      <w:pPr>
        <w:pStyle w:val="ListParagraph"/>
        <w:numPr>
          <w:ilvl w:val="0"/>
          <w:numId w:val="16"/>
        </w:numPr>
        <w:rPr>
          <w:rFonts w:ascii="Arial" w:hAnsi="Arial" w:cs="Arial"/>
          <w:sz w:val="20"/>
          <w:szCs w:val="20"/>
        </w:rPr>
      </w:pPr>
      <w:r>
        <w:rPr>
          <w:rFonts w:asciiTheme="minorHAnsi" w:hAnsiTheme="minorHAnsi" w:cs="Arial"/>
          <w:sz w:val="20"/>
          <w:szCs w:val="20"/>
        </w:rPr>
        <w:t>Demonstrated knowledge of harm reduction</w:t>
      </w:r>
    </w:p>
    <w:p w:rsidR="008139F4" w:rsidRPr="00705F52" w:rsidRDefault="008139F4"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At least 2 </w:t>
      </w:r>
      <w:proofErr w:type="spellStart"/>
      <w:r>
        <w:rPr>
          <w:rFonts w:asciiTheme="minorHAnsi" w:hAnsiTheme="minorHAnsi" w:cs="Arial"/>
          <w:sz w:val="20"/>
          <w:szCs w:val="20"/>
        </w:rPr>
        <w:t>years experience</w:t>
      </w:r>
      <w:proofErr w:type="spellEnd"/>
      <w:r>
        <w:rPr>
          <w:rFonts w:asciiTheme="minorHAnsi" w:hAnsiTheme="minorHAnsi" w:cs="Arial"/>
          <w:sz w:val="20"/>
          <w:szCs w:val="20"/>
        </w:rPr>
        <w:t xml:space="preserve"> working in a training</w:t>
      </w:r>
      <w:r w:rsidR="006C37C7">
        <w:rPr>
          <w:rFonts w:asciiTheme="minorHAnsi" w:hAnsiTheme="minorHAnsi" w:cs="Arial"/>
          <w:sz w:val="20"/>
          <w:szCs w:val="20"/>
        </w:rPr>
        <w:t xml:space="preserve"> or health promotion</w:t>
      </w:r>
      <w:r>
        <w:rPr>
          <w:rFonts w:asciiTheme="minorHAnsi" w:hAnsiTheme="minorHAnsi" w:cs="Arial"/>
          <w:sz w:val="20"/>
          <w:szCs w:val="20"/>
        </w:rPr>
        <w:t xml:space="preserve"> </w:t>
      </w:r>
      <w:r w:rsidR="00086AF9">
        <w:rPr>
          <w:rFonts w:asciiTheme="minorHAnsi" w:hAnsiTheme="minorHAnsi" w:cs="Arial"/>
          <w:sz w:val="20"/>
          <w:szCs w:val="20"/>
        </w:rPr>
        <w:t>role in a related sector</w:t>
      </w:r>
      <w:r>
        <w:rPr>
          <w:rFonts w:asciiTheme="minorHAnsi" w:hAnsiTheme="minorHAnsi" w:cs="Arial"/>
          <w:sz w:val="20"/>
          <w:szCs w:val="20"/>
        </w:rPr>
        <w:t xml:space="preserve">, </w:t>
      </w:r>
      <w:r w:rsidR="00086AF9">
        <w:rPr>
          <w:rFonts w:asciiTheme="minorHAnsi" w:hAnsiTheme="minorHAnsi" w:cs="Arial"/>
          <w:sz w:val="20"/>
          <w:szCs w:val="20"/>
        </w:rPr>
        <w:t>including developing training content</w:t>
      </w:r>
      <w:r w:rsidR="00785533">
        <w:rPr>
          <w:rFonts w:asciiTheme="minorHAnsi" w:hAnsiTheme="minorHAnsi" w:cs="Arial"/>
          <w:sz w:val="20"/>
          <w:szCs w:val="20"/>
        </w:rPr>
        <w:t xml:space="preserve">, and </w:t>
      </w:r>
      <w:r w:rsidR="00086AF9">
        <w:rPr>
          <w:rFonts w:asciiTheme="minorHAnsi" w:hAnsiTheme="minorHAnsi" w:cs="Arial"/>
          <w:sz w:val="20"/>
          <w:szCs w:val="20"/>
        </w:rPr>
        <w:t xml:space="preserve">understanding participatory training techniques and adult learning principles </w:t>
      </w:r>
    </w:p>
    <w:p w:rsidR="00086AF9" w:rsidRPr="00FD5533" w:rsidRDefault="008139F4"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Excellent communication skills </w:t>
      </w:r>
      <w:r w:rsidR="00086AF9">
        <w:rPr>
          <w:rFonts w:asciiTheme="minorHAnsi" w:hAnsiTheme="minorHAnsi" w:cs="Arial"/>
          <w:sz w:val="20"/>
          <w:szCs w:val="20"/>
        </w:rPr>
        <w:t xml:space="preserve">and the ability to quickly build strong partnerships and relationships with key stakeholders </w:t>
      </w:r>
    </w:p>
    <w:p w:rsidR="008139F4" w:rsidRPr="00FD5533" w:rsidRDefault="00086AF9" w:rsidP="00086AF9">
      <w:pPr>
        <w:pStyle w:val="ListParagraph"/>
        <w:numPr>
          <w:ilvl w:val="0"/>
          <w:numId w:val="16"/>
        </w:numPr>
        <w:rPr>
          <w:rFonts w:ascii="Arial" w:hAnsi="Arial" w:cs="Arial"/>
          <w:sz w:val="20"/>
          <w:szCs w:val="20"/>
        </w:rPr>
      </w:pPr>
      <w:r>
        <w:rPr>
          <w:rFonts w:asciiTheme="minorHAnsi" w:hAnsiTheme="minorHAnsi" w:cs="Arial"/>
          <w:sz w:val="20"/>
          <w:szCs w:val="20"/>
        </w:rPr>
        <w:t xml:space="preserve">Demonstrated ability </w:t>
      </w:r>
      <w:r w:rsidR="00785533">
        <w:rPr>
          <w:rFonts w:asciiTheme="minorHAnsi" w:hAnsiTheme="minorHAnsi" w:cs="Arial"/>
          <w:sz w:val="20"/>
          <w:szCs w:val="20"/>
        </w:rPr>
        <w:t>to develop and implement</w:t>
      </w:r>
      <w:r>
        <w:rPr>
          <w:rFonts w:asciiTheme="minorHAnsi" w:hAnsiTheme="minorHAnsi" w:cs="Arial"/>
          <w:sz w:val="20"/>
          <w:szCs w:val="20"/>
        </w:rPr>
        <w:t xml:space="preserve"> </w:t>
      </w:r>
      <w:r w:rsidR="00785533">
        <w:rPr>
          <w:rFonts w:asciiTheme="minorHAnsi" w:hAnsiTheme="minorHAnsi" w:cs="Arial"/>
          <w:sz w:val="20"/>
          <w:szCs w:val="20"/>
        </w:rPr>
        <w:t xml:space="preserve">effective </w:t>
      </w:r>
      <w:r>
        <w:rPr>
          <w:rFonts w:asciiTheme="minorHAnsi" w:hAnsiTheme="minorHAnsi" w:cs="Arial"/>
          <w:sz w:val="20"/>
          <w:szCs w:val="20"/>
        </w:rPr>
        <w:t>evaluation of program content and outcomes</w:t>
      </w:r>
    </w:p>
    <w:p w:rsidR="008139F4" w:rsidRDefault="008139F4" w:rsidP="00E26FD9">
      <w:pPr>
        <w:spacing w:after="120"/>
        <w:rPr>
          <w:rFonts w:ascii="Arial" w:hAnsi="Arial" w:cs="Arial"/>
          <w:b/>
          <w:color w:val="80808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attributes</w:t>
      </w:r>
    </w:p>
    <w:p w:rsidR="00D8506A" w:rsidRDefault="00D8506A" w:rsidP="00D8506A">
      <w:pPr>
        <w:numPr>
          <w:ilvl w:val="0"/>
          <w:numId w:val="16"/>
        </w:numPr>
        <w:spacing w:after="80" w:line="288" w:lineRule="auto"/>
        <w:rPr>
          <w:rFonts w:ascii="Calibri" w:hAnsi="Calibri" w:cs="Calibri"/>
          <w:sz w:val="20"/>
          <w:szCs w:val="20"/>
        </w:rPr>
      </w:pPr>
      <w:r w:rsidRPr="00475A95">
        <w:rPr>
          <w:rFonts w:ascii="Calibri" w:hAnsi="Calibri" w:cs="Calibri"/>
          <w:sz w:val="20"/>
          <w:szCs w:val="20"/>
        </w:rPr>
        <w:t>Ability to multi task, prioritise effectively and achieve quality outcomes in a busy, client focused environment</w:t>
      </w:r>
    </w:p>
    <w:p w:rsidR="00E26FD9" w:rsidRPr="0071559F" w:rsidRDefault="00D8506A" w:rsidP="00086AF9">
      <w:pPr>
        <w:pStyle w:val="ListParagraph"/>
        <w:numPr>
          <w:ilvl w:val="0"/>
          <w:numId w:val="16"/>
        </w:numPr>
        <w:rPr>
          <w:rFonts w:ascii="Arial" w:hAnsi="Arial" w:cs="Arial"/>
          <w:sz w:val="20"/>
          <w:szCs w:val="20"/>
        </w:rPr>
      </w:pPr>
      <w:r>
        <w:rPr>
          <w:rFonts w:cs="Calibri"/>
          <w:sz w:val="20"/>
          <w:szCs w:val="20"/>
        </w:rPr>
        <w:t>Sound interpersonal skills and the ability to communicate effectively with people from diverse cultural and social backgrounds</w:t>
      </w:r>
    </w:p>
    <w:p w:rsidR="0071559F" w:rsidRPr="00FD5533" w:rsidRDefault="0071559F" w:rsidP="0071559F">
      <w:pPr>
        <w:pStyle w:val="ListParagraph"/>
        <w:ind w:firstLine="0"/>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Qualifications \ Registration requirements</w:t>
      </w:r>
    </w:p>
    <w:p w:rsidR="00705F52" w:rsidRPr="00705F52" w:rsidRDefault="008C3CF2" w:rsidP="00705F52">
      <w:pPr>
        <w:pStyle w:val="ListParagraph"/>
        <w:numPr>
          <w:ilvl w:val="0"/>
          <w:numId w:val="2"/>
        </w:numPr>
        <w:spacing w:after="80" w:line="240" w:lineRule="auto"/>
        <w:ind w:left="714" w:hanging="357"/>
        <w:contextualSpacing w:val="0"/>
        <w:rPr>
          <w:rFonts w:cs="Arial"/>
          <w:sz w:val="20"/>
          <w:szCs w:val="20"/>
        </w:rPr>
      </w:pPr>
      <w:r>
        <w:rPr>
          <w:rFonts w:cs="Arial"/>
          <w:sz w:val="20"/>
          <w:szCs w:val="20"/>
        </w:rPr>
        <w:t>Cert IV in Workplace Training</w:t>
      </w:r>
    </w:p>
    <w:p w:rsidR="00E26FD9"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 or willingness to undertake</w:t>
      </w:r>
    </w:p>
    <w:p w:rsidR="0071559F" w:rsidRPr="00E26FD9" w:rsidRDefault="00E26FD9" w:rsidP="0071559F">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r w:rsidR="00705F52">
        <w:rPr>
          <w:rFonts w:cs="Arial"/>
          <w:sz w:val="20"/>
          <w:szCs w:val="20"/>
        </w:rPr>
        <w:t xml:space="preserve"> or willingness to undertake</w:t>
      </w:r>
    </w:p>
    <w:p w:rsidR="00E26FD9"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Current Victorian Drivers Licence</w:t>
      </w:r>
    </w:p>
    <w:p w:rsidR="00E26FD9" w:rsidRPr="00AC40CC"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Relevant tertiary qualification</w:t>
      </w:r>
    </w:p>
    <w:p w:rsidR="005204D1" w:rsidRDefault="005204D1" w:rsidP="00724F96">
      <w:pPr>
        <w:jc w:val="both"/>
        <w:rPr>
          <w:rFonts w:ascii="Calibri" w:hAnsi="Calibri" w:cs="Calibri"/>
          <w:b/>
          <w:sz w:val="20"/>
          <w:szCs w:val="20"/>
        </w:rPr>
      </w:pPr>
    </w:p>
    <w:p w:rsidR="00651D3A" w:rsidRPr="001754D7" w:rsidRDefault="00651D3A" w:rsidP="00B52816">
      <w:pPr>
        <w:spacing w:line="216" w:lineRule="auto"/>
        <w:rPr>
          <w:rFonts w:ascii="Calibri" w:hAnsi="Calibri"/>
          <w:color w:val="081B2A"/>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EE4B84" w:rsidRDefault="00EE4B84" w:rsidP="00B52816"/>
    <w:p w:rsidR="00EE4B84" w:rsidRDefault="00EE4B84"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lastRenderedPageBreak/>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 xml:space="preserve">NRCH is committed to creating a child-safe environment and to the participation and empowerment of children.  NRCH has zero tolerance of all forms of child abuse and all allegations and safety concerns </w:t>
      </w:r>
      <w:proofErr w:type="gramStart"/>
      <w:r w:rsidRPr="00055D38">
        <w:rPr>
          <w:rFonts w:cs="Calibri"/>
          <w:sz w:val="20"/>
          <w:szCs w:val="20"/>
        </w:rPr>
        <w:t>will be treated</w:t>
      </w:r>
      <w:proofErr w:type="gramEnd"/>
      <w:r w:rsidRPr="00055D38">
        <w:rPr>
          <w:rFonts w:cs="Calibri"/>
          <w:sz w:val="20"/>
          <w:szCs w:val="20"/>
        </w:rPr>
        <w:t xml:space="preserve"> very seriously. All NRCH staff and volunteers are required to contact authorities when they are worried about a child’s safety.  If you </w:t>
      </w:r>
      <w:proofErr w:type="gramStart"/>
      <w:r w:rsidRPr="00055D38">
        <w:rPr>
          <w:rFonts w:cs="Calibri"/>
          <w:sz w:val="20"/>
          <w:szCs w:val="20"/>
        </w:rPr>
        <w:t>believe</w:t>
      </w:r>
      <w:proofErr w:type="gramEnd"/>
      <w:r w:rsidRPr="00055D38">
        <w:rPr>
          <w:rFonts w:cs="Calibri"/>
          <w:sz w:val="20"/>
          <w:szCs w:val="20"/>
        </w:rPr>
        <w:t xml:space="preser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t>
      </w:r>
      <w:proofErr w:type="gramStart"/>
      <w:r>
        <w:rPr>
          <w:rFonts w:cs="Calibri"/>
          <w:sz w:val="20"/>
          <w:szCs w:val="20"/>
        </w:rPr>
        <w:t>will be negotiated</w:t>
      </w:r>
      <w:proofErr w:type="gramEnd"/>
      <w:r>
        <w:rPr>
          <w:rFonts w:cs="Calibri"/>
          <w:sz w:val="20"/>
          <w:szCs w:val="20"/>
        </w:rPr>
        <w:t xml:space="preserve"> but will be within operational hours. From time to time, some out-of-hours work may be required. Employees </w:t>
      </w:r>
      <w:proofErr w:type="gramStart"/>
      <w:r>
        <w:rPr>
          <w:rFonts w:cs="Calibri"/>
          <w:sz w:val="20"/>
          <w:szCs w:val="20"/>
        </w:rPr>
        <w:t>are expected</w:t>
      </w:r>
      <w:proofErr w:type="gramEnd"/>
      <w:r>
        <w:rPr>
          <w:rFonts w:cs="Calibri"/>
          <w:sz w:val="20"/>
          <w:szCs w:val="20"/>
        </w:rPr>
        <w:t xml:space="preserve">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 xml:space="preserve">-month probationary period, wherein performance </w:t>
      </w:r>
      <w:proofErr w:type="gramStart"/>
      <w:r>
        <w:rPr>
          <w:rFonts w:cs="Calibri"/>
          <w:sz w:val="20"/>
          <w:szCs w:val="20"/>
        </w:rPr>
        <w:t>will be reviewed</w:t>
      </w:r>
      <w:proofErr w:type="gramEnd"/>
      <w:r>
        <w:rPr>
          <w:rFonts w:cs="Calibri"/>
          <w:sz w:val="20"/>
          <w:szCs w:val="20"/>
        </w:rPr>
        <w:t xml:space="preserve">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Performance </w:t>
      </w:r>
      <w:proofErr w:type="gramStart"/>
      <w:r>
        <w:rPr>
          <w:rFonts w:cs="Calibri"/>
          <w:sz w:val="20"/>
          <w:szCs w:val="20"/>
        </w:rPr>
        <w:t>is reviewed</w:t>
      </w:r>
      <w:proofErr w:type="gramEnd"/>
      <w:r>
        <w:rPr>
          <w:rFonts w:cs="Calibri"/>
          <w:sz w:val="20"/>
          <w:szCs w:val="20"/>
        </w:rPr>
        <w:t xml:space="preserve"> formally on an annual basis and all staff will have responsibility for an individually tailored work plan. All position descriptions are open </w:t>
      </w:r>
      <w:proofErr w:type="gramStart"/>
      <w:r>
        <w:rPr>
          <w:rFonts w:cs="Calibri"/>
          <w:sz w:val="20"/>
          <w:szCs w:val="20"/>
        </w:rPr>
        <w:t>to periodic review by management in consultation with staff</w:t>
      </w:r>
      <w:proofErr w:type="gramEnd"/>
      <w:r>
        <w:rPr>
          <w:rFonts w:cs="Calibri"/>
          <w:sz w:val="20"/>
          <w:szCs w:val="20"/>
        </w:rPr>
        <w:t>.</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7A6808" w:rsidRDefault="007A6808" w:rsidP="00B52816">
      <w:pPr>
        <w:spacing w:after="80"/>
        <w:rPr>
          <w:rFonts w:ascii="Calibri" w:hAnsi="Calibri"/>
          <w:color w:val="63A70A"/>
          <w:sz w:val="40"/>
        </w:rPr>
      </w:pPr>
    </w:p>
    <w:p w:rsidR="0071559F" w:rsidRDefault="0071559F">
      <w:pPr>
        <w:spacing w:after="200" w:line="276" w:lineRule="auto"/>
        <w:rPr>
          <w:rFonts w:ascii="Calibri" w:hAnsi="Calibri"/>
          <w:color w:val="63A70A"/>
          <w:sz w:val="40"/>
        </w:rPr>
      </w:pPr>
      <w:r>
        <w:rPr>
          <w:rFonts w:ascii="Calibri" w:hAnsi="Calibri"/>
          <w:color w:val="63A70A"/>
          <w:sz w:val="40"/>
        </w:rPr>
        <w:br w:type="page"/>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lastRenderedPageBreak/>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E26FD9" w:rsidRDefault="00E26FD9" w:rsidP="00E26FD9">
      <w:pPr>
        <w:rPr>
          <w:rFonts w:ascii="Calibri" w:hAnsi="Calibri" w:cs="Calibri"/>
          <w:b/>
          <w:sz w:val="20"/>
          <w:szCs w:val="20"/>
        </w:rPr>
      </w:pPr>
    </w:p>
    <w:p w:rsidR="00785533" w:rsidRDefault="00657AE1" w:rsidP="00E26FD9">
      <w:pPr>
        <w:rPr>
          <w:rFonts w:ascii="Calibri" w:hAnsi="Calibri" w:cs="Calibri"/>
          <w:b/>
          <w:sz w:val="20"/>
          <w:szCs w:val="20"/>
        </w:rPr>
      </w:pPr>
      <w:r>
        <w:rPr>
          <w:rFonts w:ascii="Calibri" w:hAnsi="Calibri" w:cs="Calibri"/>
          <w:b/>
          <w:sz w:val="20"/>
          <w:szCs w:val="20"/>
        </w:rPr>
        <w:t>Kasey Elmore</w:t>
      </w:r>
      <w:r w:rsidR="00E26FD9">
        <w:rPr>
          <w:rFonts w:ascii="Calibri" w:hAnsi="Calibri" w:cs="Calibri"/>
          <w:sz w:val="20"/>
          <w:szCs w:val="20"/>
        </w:rPr>
        <w:t xml:space="preserve"> | </w:t>
      </w:r>
      <w:r>
        <w:rPr>
          <w:rFonts w:ascii="Calibri" w:hAnsi="Calibri" w:cs="Calibri"/>
          <w:sz w:val="20"/>
          <w:szCs w:val="20"/>
        </w:rPr>
        <w:t>AOD Program Manager</w:t>
      </w:r>
      <w:r w:rsidR="00E26FD9" w:rsidRPr="007774B4">
        <w:rPr>
          <w:rFonts w:ascii="Calibri" w:hAnsi="Calibri" w:cs="Calibri"/>
          <w:sz w:val="20"/>
          <w:szCs w:val="20"/>
        </w:rPr>
        <w:t xml:space="preserve"> | </w:t>
      </w:r>
      <w:r>
        <w:rPr>
          <w:rFonts w:ascii="Calibri" w:hAnsi="Calibri" w:cs="Calibri"/>
          <w:sz w:val="20"/>
          <w:szCs w:val="20"/>
        </w:rPr>
        <w:t>kaseye</w:t>
      </w:r>
      <w:r w:rsidR="00E26FD9">
        <w:rPr>
          <w:rFonts w:ascii="Calibri" w:hAnsi="Calibri" w:cs="Calibri"/>
          <w:sz w:val="20"/>
          <w:szCs w:val="20"/>
        </w:rPr>
        <w:t>@nrch.com.au</w:t>
      </w:r>
      <w:r w:rsidR="00E26FD9" w:rsidRPr="00B52816">
        <w:t xml:space="preserve"> </w:t>
      </w:r>
      <w:r w:rsidR="005F16D7" w:rsidRPr="005F16D7">
        <w:rPr>
          <w:rFonts w:ascii="Calibri" w:hAnsi="Calibri" w:cs="Calibri"/>
          <w:sz w:val="20"/>
          <w:szCs w:val="20"/>
        </w:rPr>
        <w:t xml:space="preserve">I </w:t>
      </w:r>
      <w:r w:rsidR="00FD5533" w:rsidRPr="005F16D7">
        <w:rPr>
          <w:rFonts w:ascii="Calibri" w:hAnsi="Calibri" w:cs="Calibri"/>
          <w:sz w:val="20"/>
          <w:szCs w:val="20"/>
        </w:rPr>
        <w:t>03</w:t>
      </w:r>
      <w:r w:rsidR="005F16D7">
        <w:rPr>
          <w:rFonts w:ascii="Calibri" w:hAnsi="Calibri" w:cs="Calibri"/>
          <w:sz w:val="20"/>
          <w:szCs w:val="20"/>
        </w:rPr>
        <w:t xml:space="preserve"> </w:t>
      </w:r>
      <w:r w:rsidR="00FD5533" w:rsidRPr="005F16D7">
        <w:rPr>
          <w:rFonts w:ascii="Calibri" w:hAnsi="Calibri" w:cs="Calibri"/>
          <w:sz w:val="20"/>
          <w:szCs w:val="20"/>
        </w:rPr>
        <w:t>9418 9819</w:t>
      </w:r>
    </w:p>
    <w:sectPr w:rsidR="00785533" w:rsidSect="0071559F">
      <w:headerReference w:type="default" r:id="rId7"/>
      <w:footerReference w:type="default" r:id="rId8"/>
      <w:pgSz w:w="11906" w:h="16838"/>
      <w:pgMar w:top="38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50" w:rsidRDefault="00387850" w:rsidP="001F6AFF">
      <w:r>
        <w:separator/>
      </w:r>
    </w:p>
  </w:endnote>
  <w:endnote w:type="continuationSeparator" w:id="0">
    <w:p w:rsidR="00387850" w:rsidRDefault="00387850"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F" w:rsidRPr="0071559F" w:rsidRDefault="0071559F" w:rsidP="0071559F">
    <w:pPr>
      <w:pStyle w:val="Footer"/>
      <w:pBdr>
        <w:top w:val="single" w:sz="4" w:space="1" w:color="auto"/>
      </w:pBdr>
      <w:tabs>
        <w:tab w:val="left" w:pos="1102"/>
      </w:tabs>
      <w:rPr>
        <w:sz w:val="16"/>
        <w:szCs w:val="16"/>
      </w:rPr>
    </w:pPr>
    <w:r w:rsidRPr="0071559F">
      <w:rPr>
        <w:sz w:val="16"/>
        <w:szCs w:val="16"/>
      </w:rPr>
      <w:fldChar w:fldCharType="begin"/>
    </w:r>
    <w:r w:rsidRPr="0071559F">
      <w:rPr>
        <w:sz w:val="16"/>
        <w:szCs w:val="16"/>
      </w:rPr>
      <w:instrText xml:space="preserve"> FILENAME \* MERGEFORMAT </w:instrText>
    </w:r>
    <w:r w:rsidRPr="0071559F">
      <w:rPr>
        <w:sz w:val="16"/>
        <w:szCs w:val="16"/>
      </w:rPr>
      <w:fldChar w:fldCharType="separate"/>
    </w:r>
    <w:r w:rsidRPr="0071559F">
      <w:rPr>
        <w:noProof/>
        <w:sz w:val="16"/>
        <w:szCs w:val="16"/>
      </w:rPr>
      <w:t>AOD Overdose Response Coordinator PD Nov 2017 final 291117</w:t>
    </w:r>
    <w:r w:rsidRPr="0071559F">
      <w:rPr>
        <w:sz w:val="16"/>
        <w:szCs w:val="16"/>
      </w:rPr>
      <w:fldChar w:fldCharType="end"/>
    </w:r>
    <w:r w:rsidRPr="0071559F">
      <w:rPr>
        <w:sz w:val="16"/>
        <w:szCs w:val="16"/>
      </w:rPr>
      <w:tab/>
    </w:r>
    <w:r w:rsidRPr="0071559F">
      <w:rPr>
        <w:sz w:val="16"/>
        <w:szCs w:val="16"/>
      </w:rPr>
      <w:tab/>
    </w:r>
    <w:sdt>
      <w:sdtPr>
        <w:rPr>
          <w:sz w:val="16"/>
          <w:szCs w:val="16"/>
        </w:rPr>
        <w:id w:val="-148631429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1559F">
              <w:rPr>
                <w:sz w:val="16"/>
                <w:szCs w:val="16"/>
              </w:rPr>
              <w:t xml:space="preserve">Page </w:t>
            </w:r>
            <w:r w:rsidRPr="0071559F">
              <w:rPr>
                <w:b/>
                <w:bCs/>
                <w:sz w:val="16"/>
                <w:szCs w:val="16"/>
              </w:rPr>
              <w:fldChar w:fldCharType="begin"/>
            </w:r>
            <w:r w:rsidRPr="0071559F">
              <w:rPr>
                <w:b/>
                <w:bCs/>
                <w:sz w:val="16"/>
                <w:szCs w:val="16"/>
              </w:rPr>
              <w:instrText xml:space="preserve"> PAGE </w:instrText>
            </w:r>
            <w:r w:rsidRPr="0071559F">
              <w:rPr>
                <w:b/>
                <w:bCs/>
                <w:sz w:val="16"/>
                <w:szCs w:val="16"/>
              </w:rPr>
              <w:fldChar w:fldCharType="separate"/>
            </w:r>
            <w:r w:rsidR="00E600D7">
              <w:rPr>
                <w:b/>
                <w:bCs/>
                <w:noProof/>
                <w:sz w:val="16"/>
                <w:szCs w:val="16"/>
              </w:rPr>
              <w:t>5</w:t>
            </w:r>
            <w:r w:rsidRPr="0071559F">
              <w:rPr>
                <w:b/>
                <w:bCs/>
                <w:sz w:val="16"/>
                <w:szCs w:val="16"/>
              </w:rPr>
              <w:fldChar w:fldCharType="end"/>
            </w:r>
            <w:r w:rsidRPr="0071559F">
              <w:rPr>
                <w:sz w:val="16"/>
                <w:szCs w:val="16"/>
              </w:rPr>
              <w:t xml:space="preserve"> of </w:t>
            </w:r>
            <w:r w:rsidRPr="0071559F">
              <w:rPr>
                <w:b/>
                <w:bCs/>
                <w:sz w:val="16"/>
                <w:szCs w:val="16"/>
              </w:rPr>
              <w:fldChar w:fldCharType="begin"/>
            </w:r>
            <w:r w:rsidRPr="0071559F">
              <w:rPr>
                <w:b/>
                <w:bCs/>
                <w:sz w:val="16"/>
                <w:szCs w:val="16"/>
              </w:rPr>
              <w:instrText xml:space="preserve"> NUMPAGES  </w:instrText>
            </w:r>
            <w:r w:rsidRPr="0071559F">
              <w:rPr>
                <w:b/>
                <w:bCs/>
                <w:sz w:val="16"/>
                <w:szCs w:val="16"/>
              </w:rPr>
              <w:fldChar w:fldCharType="separate"/>
            </w:r>
            <w:r w:rsidR="00E600D7">
              <w:rPr>
                <w:b/>
                <w:bCs/>
                <w:noProof/>
                <w:sz w:val="16"/>
                <w:szCs w:val="16"/>
              </w:rPr>
              <w:t>5</w:t>
            </w:r>
            <w:r w:rsidRPr="0071559F">
              <w:rPr>
                <w:b/>
                <w:bCs/>
                <w:sz w:val="16"/>
                <w:szCs w:val="16"/>
              </w:rPr>
              <w:fldChar w:fldCharType="end"/>
            </w:r>
          </w:sdtContent>
        </w:sdt>
      </w:sdtContent>
    </w:sdt>
  </w:p>
  <w:p w:rsidR="00475A95" w:rsidRPr="0071559F" w:rsidRDefault="00475A95" w:rsidP="0071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50" w:rsidRDefault="00387850" w:rsidP="001F6AFF">
      <w:r>
        <w:separator/>
      </w:r>
    </w:p>
  </w:footnote>
  <w:footnote w:type="continuationSeparator" w:id="0">
    <w:p w:rsidR="00387850" w:rsidRDefault="00387850"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7D282859" wp14:editId="2E7998DB">
          <wp:simplePos x="0" y="0"/>
          <wp:positionH relativeFrom="page">
            <wp:align>left</wp:align>
          </wp:positionH>
          <wp:positionV relativeFrom="paragraph">
            <wp:posOffset>-457200</wp:posOffset>
          </wp:positionV>
          <wp:extent cx="7005099" cy="1366717"/>
          <wp:effectExtent l="0" t="0" r="571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4943" cy="1394001"/>
                  </a:xfrm>
                  <a:prstGeom prst="rect">
                    <a:avLst/>
                  </a:prstGeom>
                </pic:spPr>
              </pic:pic>
            </a:graphicData>
          </a:graphic>
          <wp14:sizeRelH relativeFrom="page">
            <wp14:pctWidth>0</wp14:pctWidth>
          </wp14:sizeRelH>
          <wp14:sizeRelV relativeFrom="page">
            <wp14:pctHeight>0</wp14:pctHeight>
          </wp14:sizeRelV>
        </wp:anchor>
      </w:drawing>
    </w:r>
  </w:p>
  <w:p w:rsidR="00475A95" w:rsidRDefault="00A2108D">
    <w:pPr>
      <w:pStyle w:val="Header"/>
    </w:pPr>
    <w:r>
      <w:rPr>
        <w:noProof/>
        <w:lang w:eastAsia="en-AU"/>
      </w:rPr>
      <mc:AlternateContent>
        <mc:Choice Requires="wps">
          <w:drawing>
            <wp:anchor distT="45720" distB="45720" distL="114300" distR="114300" simplePos="0" relativeHeight="251661312" behindDoc="0" locked="0" layoutInCell="1" allowOverlap="1" wp14:anchorId="0A1D95C5" wp14:editId="656238F5">
              <wp:simplePos x="0" y="0"/>
              <wp:positionH relativeFrom="page">
                <wp:posOffset>461010</wp:posOffset>
              </wp:positionH>
              <wp:positionV relativeFrom="paragraph">
                <wp:posOffset>683674</wp:posOffset>
              </wp:positionV>
              <wp:extent cx="4873625" cy="969645"/>
              <wp:effectExtent l="0" t="0" r="317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969645"/>
                      </a:xfrm>
                      <a:prstGeom prst="rect">
                        <a:avLst/>
                      </a:prstGeom>
                      <a:solidFill>
                        <a:srgbClr val="FFFFFF"/>
                      </a:solidFill>
                      <a:ln w="9525">
                        <a:noFill/>
                        <a:miter lim="800000"/>
                        <a:headEnd/>
                        <a:tailEnd/>
                      </a:ln>
                    </wps:spPr>
                    <wps:txbx>
                      <w:txbxContent>
                        <w:p w:rsidR="00A2108D" w:rsidRPr="00B9049E" w:rsidRDefault="00A2108D" w:rsidP="00A2108D">
                          <w:pPr>
                            <w:spacing w:line="216" w:lineRule="auto"/>
                            <w:rPr>
                              <w:rFonts w:ascii="Calibri" w:hAnsi="Calibri"/>
                              <w:color w:val="081B2A"/>
                              <w:sz w:val="72"/>
                            </w:rPr>
                          </w:pPr>
                          <w:r>
                            <w:rPr>
                              <w:rFonts w:ascii="Calibri" w:hAnsi="Calibri"/>
                              <w:color w:val="081B2A"/>
                              <w:sz w:val="72"/>
                            </w:rPr>
                            <w:t xml:space="preserve">Position Description </w:t>
                          </w:r>
                        </w:p>
                        <w:p w:rsidR="00A2108D" w:rsidRPr="00622A98" w:rsidRDefault="00A2108D" w:rsidP="00A2108D">
                          <w:pPr>
                            <w:spacing w:line="216" w:lineRule="auto"/>
                            <w:rPr>
                              <w:rFonts w:ascii="Calibri" w:hAnsi="Calibri"/>
                              <w:color w:val="63A70A"/>
                              <w:sz w:val="40"/>
                            </w:rPr>
                          </w:pPr>
                          <w:r>
                            <w:rPr>
                              <w:rFonts w:ascii="Calibri" w:hAnsi="Calibri"/>
                              <w:color w:val="63A70A"/>
                              <w:sz w:val="40"/>
                            </w:rPr>
                            <w:t>AOD overdose Response Coordinator</w:t>
                          </w:r>
                        </w:p>
                        <w:p w:rsidR="00A2108D" w:rsidRDefault="00A21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D95C5" id="_x0000_t202" coordsize="21600,21600" o:spt="202" path="m,l,21600r21600,l21600,xe">
              <v:stroke joinstyle="miter"/>
              <v:path gradientshapeok="t" o:connecttype="rect"/>
            </v:shapetype>
            <v:shape id="Text Box 2" o:spid="_x0000_s1026" type="#_x0000_t202" style="position:absolute;margin-left:36.3pt;margin-top:53.85pt;width:383.75pt;height:7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lIQIAAB0EAAAOAAAAZHJzL2Uyb0RvYy54bWysU1+P2jAMf5+07xDlfRQYc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" stroked="f">
              <v:textbox>
                <w:txbxContent>
                  <w:p w:rsidR="00A2108D" w:rsidRPr="00B9049E" w:rsidRDefault="00A2108D" w:rsidP="00A2108D">
                    <w:pPr>
                      <w:spacing w:line="216" w:lineRule="auto"/>
                      <w:rPr>
                        <w:rFonts w:ascii="Calibri" w:hAnsi="Calibri"/>
                        <w:color w:val="081B2A"/>
                        <w:sz w:val="72"/>
                      </w:rPr>
                    </w:pPr>
                    <w:r>
                      <w:rPr>
                        <w:rFonts w:ascii="Calibri" w:hAnsi="Calibri"/>
                        <w:color w:val="081B2A"/>
                        <w:sz w:val="72"/>
                      </w:rPr>
                      <w:t xml:space="preserve">Position Description </w:t>
                    </w:r>
                  </w:p>
                  <w:p w:rsidR="00A2108D" w:rsidRPr="00622A98" w:rsidRDefault="00A2108D" w:rsidP="00A2108D">
                    <w:pPr>
                      <w:spacing w:line="216" w:lineRule="auto"/>
                      <w:rPr>
                        <w:rFonts w:ascii="Calibri" w:hAnsi="Calibri"/>
                        <w:color w:val="63A70A"/>
                        <w:sz w:val="40"/>
                      </w:rPr>
                    </w:pPr>
                    <w:r>
                      <w:rPr>
                        <w:rFonts w:ascii="Calibri" w:hAnsi="Calibri"/>
                        <w:color w:val="63A70A"/>
                        <w:sz w:val="40"/>
                      </w:rPr>
                      <w:t>AOD overdose Response Coordinator</w:t>
                    </w:r>
                  </w:p>
                  <w:p w:rsidR="00A2108D" w:rsidRDefault="00A2108D"/>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4E270A"/>
    <w:multiLevelType w:val="hybridMultilevel"/>
    <w:tmpl w:val="D9DE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022F27"/>
    <w:multiLevelType w:val="hybridMultilevel"/>
    <w:tmpl w:val="6352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18"/>
  </w:num>
  <w:num w:numId="6">
    <w:abstractNumId w:val="4"/>
  </w:num>
  <w:num w:numId="7">
    <w:abstractNumId w:val="16"/>
  </w:num>
  <w:num w:numId="8">
    <w:abstractNumId w:val="9"/>
  </w:num>
  <w:num w:numId="9">
    <w:abstractNumId w:val="2"/>
  </w:num>
  <w:num w:numId="10">
    <w:abstractNumId w:val="7"/>
  </w:num>
  <w:num w:numId="11">
    <w:abstractNumId w:val="13"/>
  </w:num>
  <w:num w:numId="12">
    <w:abstractNumId w:val="12"/>
  </w:num>
  <w:num w:numId="13">
    <w:abstractNumId w:val="17"/>
  </w:num>
  <w:num w:numId="14">
    <w:abstractNumId w:val="10"/>
  </w:num>
  <w:num w:numId="15">
    <w:abstractNumId w:val="1"/>
  </w:num>
  <w:num w:numId="16">
    <w:abstractNumId w:val="3"/>
  </w:num>
  <w:num w:numId="17">
    <w:abstractNumId w:val="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37076"/>
    <w:rsid w:val="00043EB6"/>
    <w:rsid w:val="00086AF9"/>
    <w:rsid w:val="000B002C"/>
    <w:rsid w:val="000E0971"/>
    <w:rsid w:val="00123347"/>
    <w:rsid w:val="00127030"/>
    <w:rsid w:val="0014690C"/>
    <w:rsid w:val="00154227"/>
    <w:rsid w:val="001754D7"/>
    <w:rsid w:val="00186D06"/>
    <w:rsid w:val="00190D23"/>
    <w:rsid w:val="001F6AFF"/>
    <w:rsid w:val="00261DF2"/>
    <w:rsid w:val="00325AF9"/>
    <w:rsid w:val="00363DE9"/>
    <w:rsid w:val="00367D98"/>
    <w:rsid w:val="00387850"/>
    <w:rsid w:val="00470FE8"/>
    <w:rsid w:val="00475A95"/>
    <w:rsid w:val="00485F52"/>
    <w:rsid w:val="004A351C"/>
    <w:rsid w:val="004A7D4C"/>
    <w:rsid w:val="004E4AB9"/>
    <w:rsid w:val="004F0854"/>
    <w:rsid w:val="0050424A"/>
    <w:rsid w:val="005204D1"/>
    <w:rsid w:val="00526984"/>
    <w:rsid w:val="0055290E"/>
    <w:rsid w:val="00554407"/>
    <w:rsid w:val="005A4DBD"/>
    <w:rsid w:val="005A511D"/>
    <w:rsid w:val="005B21EB"/>
    <w:rsid w:val="005C0F41"/>
    <w:rsid w:val="005D6852"/>
    <w:rsid w:val="005F16D7"/>
    <w:rsid w:val="00611582"/>
    <w:rsid w:val="0061762F"/>
    <w:rsid w:val="00620BBC"/>
    <w:rsid w:val="00622A98"/>
    <w:rsid w:val="00651D3A"/>
    <w:rsid w:val="00657AE1"/>
    <w:rsid w:val="00662AEF"/>
    <w:rsid w:val="006868EC"/>
    <w:rsid w:val="006A123D"/>
    <w:rsid w:val="006C37C7"/>
    <w:rsid w:val="00705F52"/>
    <w:rsid w:val="0071559F"/>
    <w:rsid w:val="00720BAC"/>
    <w:rsid w:val="00724F96"/>
    <w:rsid w:val="0074428F"/>
    <w:rsid w:val="00785533"/>
    <w:rsid w:val="007A6808"/>
    <w:rsid w:val="007C29D6"/>
    <w:rsid w:val="008139F4"/>
    <w:rsid w:val="00831E61"/>
    <w:rsid w:val="00831FD1"/>
    <w:rsid w:val="00836C5A"/>
    <w:rsid w:val="00863925"/>
    <w:rsid w:val="00870D1C"/>
    <w:rsid w:val="008A35AD"/>
    <w:rsid w:val="008C2A0D"/>
    <w:rsid w:val="008C3CF2"/>
    <w:rsid w:val="009A04B2"/>
    <w:rsid w:val="00A2108D"/>
    <w:rsid w:val="00A26FCF"/>
    <w:rsid w:val="00A50872"/>
    <w:rsid w:val="00A819AF"/>
    <w:rsid w:val="00B36DDE"/>
    <w:rsid w:val="00B52816"/>
    <w:rsid w:val="00B61160"/>
    <w:rsid w:val="00B960C7"/>
    <w:rsid w:val="00BA3CC6"/>
    <w:rsid w:val="00BB0C5B"/>
    <w:rsid w:val="00BB16C6"/>
    <w:rsid w:val="00BC7785"/>
    <w:rsid w:val="00C02372"/>
    <w:rsid w:val="00C81E50"/>
    <w:rsid w:val="00C92E20"/>
    <w:rsid w:val="00CE200F"/>
    <w:rsid w:val="00D03C2A"/>
    <w:rsid w:val="00D247EA"/>
    <w:rsid w:val="00D544A3"/>
    <w:rsid w:val="00D631F6"/>
    <w:rsid w:val="00D8506A"/>
    <w:rsid w:val="00D85680"/>
    <w:rsid w:val="00E00592"/>
    <w:rsid w:val="00E1273F"/>
    <w:rsid w:val="00E26FD9"/>
    <w:rsid w:val="00E33A35"/>
    <w:rsid w:val="00E51AB7"/>
    <w:rsid w:val="00E600D7"/>
    <w:rsid w:val="00E666B3"/>
    <w:rsid w:val="00E83E8F"/>
    <w:rsid w:val="00EE4B84"/>
    <w:rsid w:val="00EF4E3E"/>
    <w:rsid w:val="00EF6FEE"/>
    <w:rsid w:val="00F3019E"/>
    <w:rsid w:val="00F5112B"/>
    <w:rsid w:val="00F542E3"/>
    <w:rsid w:val="00F55082"/>
    <w:rsid w:val="00F71E81"/>
    <w:rsid w:val="00F744A7"/>
    <w:rsid w:val="00FB47F2"/>
    <w:rsid w:val="00FC1FB0"/>
    <w:rsid w:val="00FD4829"/>
    <w:rsid w:val="00FD49F9"/>
    <w:rsid w:val="00FD553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DC3F059"/>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 w:type="character" w:styleId="CommentReference">
    <w:name w:val="annotation reference"/>
    <w:basedOn w:val="DefaultParagraphFont"/>
    <w:uiPriority w:val="99"/>
    <w:semiHidden/>
    <w:unhideWhenUsed/>
    <w:rsid w:val="0050424A"/>
    <w:rPr>
      <w:sz w:val="16"/>
      <w:szCs w:val="16"/>
    </w:rPr>
  </w:style>
  <w:style w:type="paragraph" w:styleId="CommentText">
    <w:name w:val="annotation text"/>
    <w:basedOn w:val="Normal"/>
    <w:link w:val="CommentTextChar"/>
    <w:uiPriority w:val="99"/>
    <w:semiHidden/>
    <w:unhideWhenUsed/>
    <w:rsid w:val="0050424A"/>
    <w:rPr>
      <w:sz w:val="20"/>
      <w:szCs w:val="20"/>
    </w:rPr>
  </w:style>
  <w:style w:type="character" w:customStyle="1" w:styleId="CommentTextChar">
    <w:name w:val="Comment Text Char"/>
    <w:basedOn w:val="DefaultParagraphFont"/>
    <w:link w:val="CommentText"/>
    <w:uiPriority w:val="99"/>
    <w:semiHidden/>
    <w:rsid w:val="0050424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424A"/>
    <w:rPr>
      <w:b/>
      <w:bCs/>
    </w:rPr>
  </w:style>
  <w:style w:type="character" w:customStyle="1" w:styleId="CommentSubjectChar">
    <w:name w:val="Comment Subject Char"/>
    <w:basedOn w:val="CommentTextChar"/>
    <w:link w:val="CommentSubject"/>
    <w:uiPriority w:val="99"/>
    <w:semiHidden/>
    <w:rsid w:val="0050424A"/>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Anisha Prasad</dc:creator>
  <cp:lastModifiedBy>Natalie Coughlan</cp:lastModifiedBy>
  <cp:revision>7</cp:revision>
  <cp:lastPrinted>2017-06-29T06:18:00Z</cp:lastPrinted>
  <dcterms:created xsi:type="dcterms:W3CDTF">2017-11-30T04:06:00Z</dcterms:created>
  <dcterms:modified xsi:type="dcterms:W3CDTF">2017-12-14T22:43:00Z</dcterms:modified>
</cp:coreProperties>
</file>